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26, 2026</w:t>
      </w:r>
    </w:p>
    <w:tbl>
      <w:tblPr>
        <w:tblW w:w="6283" w:type="dxa"/>
        <w:jc w:val="center"/>
        <w:tblInd w:w="0" w:type="dxa"/>
        <w:tblLayout w:type="fixed"/>
        <w:tblCellMar>
          <w:top w:w="28" w:type="dxa"/>
          <w:left w:w="28" w:type="dxa"/>
          <w:bottom w:w="28" w:type="dxa"/>
          <w:right w:w="28" w:type="dxa"/>
        </w:tblCellMar>
      </w:tblPr>
      <w:tblGrid>
        <w:gridCol w:w="458"/>
        <w:gridCol w:w="403"/>
        <w:gridCol w:w="403"/>
        <w:gridCol w:w="403"/>
        <w:gridCol w:w="403"/>
        <w:gridCol w:w="403"/>
        <w:gridCol w:w="403"/>
        <w:gridCol w:w="403"/>
        <w:gridCol w:w="403"/>
        <w:gridCol w:w="403"/>
        <w:gridCol w:w="403"/>
        <w:gridCol w:w="403"/>
        <w:gridCol w:w="403"/>
        <w:gridCol w:w="403"/>
        <w:gridCol w:w="586"/>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2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DYCOM INDUSTRIES, INC.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156"/>
        <w:gridCol w:w="1018"/>
        <w:gridCol w:w="1023"/>
        <w:gridCol w:w="109"/>
        <w:gridCol w:w="109"/>
        <w:gridCol w:w="109"/>
        <w:gridCol w:w="596"/>
        <w:gridCol w:w="582"/>
        <w:gridCol w:w="566"/>
        <w:gridCol w:w="317"/>
        <w:gridCol w:w="317"/>
        <w:gridCol w:w="317"/>
        <w:gridCol w:w="348"/>
        <w:gridCol w:w="332"/>
        <w:gridCol w:w="334"/>
        <w:gridCol w:w="109"/>
        <w:gridCol w:w="109"/>
        <w:gridCol w:w="109"/>
        <w:gridCol w:w="769"/>
        <w:gridCol w:w="769"/>
        <w:gridCol w:w="1107"/>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59-1277135</w:t>
            </w:r>
          </w:p>
        </w:tc>
      </w:tr>
      <w:tr>
        <w:trPr/>
        <w:tc>
          <w:tcPr>
            <w:tcW w:w="31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 Banyan Blvd., Suite 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 Palm Beach</w:t>
            </w:r>
          </w:p>
        </w:tc>
        <w:tc>
          <w:tcPr>
            <w:tcW w:w="95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w:t>
            </w:r>
          </w:p>
        </w:tc>
        <w:tc>
          <w:tcPr>
            <w:tcW w:w="101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(561) 627-7171 </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103" w:type="dxa"/>
        <w:jc w:val="center"/>
        <w:tblInd w:w="0" w:type="dxa"/>
        <w:tblLayout w:type="fixed"/>
        <w:tblCellMar>
          <w:top w:w="28" w:type="dxa"/>
          <w:left w:w="28" w:type="dxa"/>
          <w:bottom w:w="28" w:type="dxa"/>
          <w:right w:w="28" w:type="dxa"/>
        </w:tblCellMar>
      </w:tblPr>
      <w:tblGrid>
        <w:gridCol w:w="1426"/>
        <w:gridCol w:w="1256"/>
        <w:gridCol w:w="1263"/>
        <w:gridCol w:w="109"/>
        <w:gridCol w:w="109"/>
        <w:gridCol w:w="109"/>
        <w:gridCol w:w="539"/>
        <w:gridCol w:w="539"/>
        <w:gridCol w:w="541"/>
        <w:gridCol w:w="109"/>
        <w:gridCol w:w="109"/>
        <w:gridCol w:w="109"/>
        <w:gridCol w:w="1138"/>
        <w:gridCol w:w="1138"/>
        <w:gridCol w:w="1609"/>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$0.33 1/3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26, 2026, Dycom Industries, Inc. (the “Company”) issued a press release reporting fiscal 2027 second quarter results. The Company also provided forward guidance. Additionally, on August 26, 2026, the Company made available related materials to be discussed during the Company’s webcast and conference call referred to in such press release. A copy of the press release and related conference call materials are furnished as Exhibits 99.1 and 99.2, respectively, to this Current Report on Form 8-K and are incorporated into Item 2.02 of this Current Report on Form 8-K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the preceding paragraphs, as well as Exhibits 99.1 and 99.2, shall not be deemed “filed” for purposes of Section 18 of the Securities Exchange Act of 1934 (the “Exchange Act”), or otherwise subject to the liabilities of that section. It may only be incorporated by reference into another filing under the Exchange Act or the Securities Act of 1933 (the “Securities Act”) if such subsequent filing specifically references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Forward Looking Statements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including the press release and related slide presentation and Non-GAAP reconciliations that are furnished as exhibits to this Current Report on Form 8-K, contain forward-looking statements as contemplated by the 1995 Private Securities Litigation Reform Act. These statements are subject to change. Forward-looking statements are based on management’s current expectations, estimates and projections. These statements are subject to risks and uncertainties that may cause actual results for completed periods and periods in the future to differ materially from the results projected or implied in any forward-looking statements contained in this press release. The most significant of these risks and uncertainties are described in the Company’s Form 10-K, Form 10-Q, and Form 8-K reports (including all amendments to those reports) and include future economic conditions and trends including the potential impacts of an inflationary economic environment, changes to customer capital budgets and spending priorities, the availability and cost of materials, equipment and labor necessary to perform our work, the adequacy of the Company’s insurance and other reserves and allowances for credit losses, whether the carrying value of the Company’s assets may be impaired, the future impact of any acquisitions or dispositions, adjustments and cancellations of the Company’s projects, the impact to the Company’s backlog from project cancellations or postponements, the impacts of pandemics and public health emergencies, the impact of varying climate and weather conditions, the anticipated outcome of other contingent events, including litigation or regulatory actions involving the Company, potential liabilities or other adverse effects arising from occupational health, safety, and other regulatory matters, the adequacy of our liquidity, the availability of financing to address our financials needs, the Company’s ability to generate sufficient cash to service its indebtedness, the impact of restrictions imposed by the Company’s credit agreement, and other risks and uncertainties detailed from time to time in the Company’s filings with the Securities and Exchange Commission. These filings are available on a web site maintained by the Securities and Exchange Commission at http://www.sec.gov. The Company does not undertake any obligation to update forward-looking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226" w:type="dxa"/>
        <w:jc w:val="left"/>
        <w:tblInd w:w="0" w:type="dxa"/>
        <w:tblLayout w:type="fixed"/>
        <w:tblCellMar>
          <w:top w:w="28" w:type="dxa"/>
          <w:left w:w="28" w:type="dxa"/>
          <w:bottom w:w="28" w:type="dxa"/>
          <w:right w:w="28" w:type="dxa"/>
        </w:tblCellMar>
      </w:tblPr>
      <w:tblGrid>
        <w:gridCol w:w="174"/>
        <w:gridCol w:w="153"/>
        <w:gridCol w:w="154"/>
        <w:gridCol w:w="2559"/>
        <w:gridCol w:w="2559"/>
        <w:gridCol w:w="362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fy2027q2earningsreleasee.htm">
              <w:r>
                <w:rPr>
                  <w:rStyle w:val="InternetLink"/>
                  <w:rFonts w:ascii="Times New Roman;serif" w:hAnsi="Times New Roman;serif"/>
                  <w:b w:val="false"/>
                  <w:color w:val="0000FF"/>
                  <w:sz w:val="20"/>
                  <w:u w:val="single"/>
                </w:rPr>
                <w:t>99.1</w:t>
              </w:r>
            </w:hyperlink>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fy2027q2earningsreleasee.htm">
              <w:r>
                <w:rPr>
                  <w:rStyle w:val="InternetLink"/>
                  <w:rFonts w:ascii="Times New Roman;serif" w:hAnsi="Times New Roman;serif"/>
                  <w:b w:val="false"/>
                  <w:color w:val="0000FF"/>
                  <w:sz w:val="20"/>
                  <w:u w:val="single"/>
                </w:rPr>
                <w:t>Press release dated August 26, 2026 by Dycom Industries, Inc. reporting fiscal 2027 second quarter results.</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7presentationmateri.htm">
              <w:r>
                <w:rPr>
                  <w:rStyle w:val="InternetLink"/>
                  <w:rFonts w:ascii="Times New Roman;serif" w:hAnsi="Times New Roman;serif"/>
                  <w:b w:val="false"/>
                  <w:color w:val="0000FF"/>
                  <w:sz w:val="20"/>
                  <w:u w:val="single"/>
                </w:rPr>
                <w:t>99.2</w:t>
              </w:r>
            </w:hyperlink>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7presentationmateri.htm">
              <w:r>
                <w:rPr>
                  <w:rStyle w:val="InternetLink"/>
                  <w:rFonts w:ascii="Times New Roman;serif" w:hAnsi="Times New Roman;serif"/>
                  <w:b w:val="false"/>
                  <w:color w:val="0000FF"/>
                  <w:sz w:val="20"/>
                  <w:u w:val="single"/>
                </w:rPr>
                <w:t>Slide presentation relating to the webcast and conference call to be held on August 26,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p>
            <w:pPr>
              <w:pStyle w:val="TableContents"/>
              <w:bidi w:val="0"/>
              <w:spacing w:before="0" w:after="0"/>
              <w:ind w:left="0" w:right="0" w:hanging="72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26, 2026</w:t>
      </w:r>
    </w:p>
    <w:tbl>
      <w:tblPr>
        <w:tblW w:w="6520" w:type="dxa"/>
        <w:jc w:val="right"/>
        <w:tblInd w:w="0" w:type="dxa"/>
        <w:tblLayout w:type="fixed"/>
        <w:tblCellMar>
          <w:top w:w="28" w:type="dxa"/>
          <w:left w:w="28" w:type="dxa"/>
          <w:bottom w:w="28" w:type="dxa"/>
          <w:right w:w="28" w:type="dxa"/>
        </w:tblCellMar>
      </w:tblPr>
      <w:tblGrid>
        <w:gridCol w:w="434"/>
        <w:gridCol w:w="381"/>
        <w:gridCol w:w="381"/>
        <w:gridCol w:w="1550"/>
        <w:gridCol w:w="1550"/>
        <w:gridCol w:w="222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652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DYCOM INDUSTRIES, INC.</w:t>
              <w:br/>
              <w:t>(Registrant)</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Ryan F. Urness</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w:t>
            </w:r>
          </w:p>
        </w:tc>
        <w:tc>
          <w:tcPr>
            <w:tcW w:w="53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Ryan F. Urness</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7346" w:type="dxa"/>
        <w:jc w:val="left"/>
        <w:tblInd w:w="0" w:type="dxa"/>
        <w:tblLayout w:type="fixed"/>
        <w:tblCellMar>
          <w:top w:w="28" w:type="dxa"/>
          <w:left w:w="28" w:type="dxa"/>
          <w:bottom w:w="28" w:type="dxa"/>
          <w:right w:w="28" w:type="dxa"/>
        </w:tblCellMar>
      </w:tblPr>
      <w:tblGrid>
        <w:gridCol w:w="1776"/>
        <w:gridCol w:w="1562"/>
        <w:gridCol w:w="1563"/>
        <w:gridCol w:w="716"/>
        <w:gridCol w:w="716"/>
        <w:gridCol w:w="1013"/>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49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048000" cy="5619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048000" cy="561975"/>
                          </a:xfrm>
                          <a:prstGeom prst="rect">
                            <a:avLst/>
                          </a:prstGeom>
                        </pic:spPr>
                      </pic:pic>
                    </a:graphicData>
                  </a:graphic>
                </wp:inline>
              </w:drawing>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NEWS RELEASE</w:t>
            </w:r>
          </w:p>
        </w:tc>
      </w:tr>
      <w:tr>
        <w:trPr/>
        <w:tc>
          <w:tcPr>
            <w:tcW w:w="4901" w:type="dxa"/>
            <w:gridSpan w:val="3"/>
            <w:vMerge w:val="continue"/>
            <w:tcBorders/>
            <w:tcMar>
              <w:top w:w="0" w:type="dxa"/>
              <w:left w:w="0" w:type="dxa"/>
              <w:bottom w:w="0" w:type="dxa"/>
              <w:right w:w="0" w:type="dxa"/>
            </w:tcMar>
            <w:vAlign w:val="center"/>
          </w:tcPr>
          <w:p>
            <w:pPr>
              <w:pStyle w:val="Normal"/>
              <w:bidi w:val="0"/>
              <w:jc w:val="left"/>
              <w:rPr/>
            </w:pPr>
            <w:r>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color w:val="000000"/>
                <w:sz w:val="20"/>
              </w:rPr>
              <w:t>August 26,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7"/>
        </w:rPr>
      </w:pPr>
      <w:r>
        <w:rPr>
          <w:rFonts w:ascii="Times New Roman;serif" w:hAnsi="Times New Roman;serif"/>
          <w:b/>
          <w:color w:val="000000"/>
          <w:sz w:val="27"/>
        </w:rPr>
        <w:t>DYCOM INDUSTRIES, INC. REPORTS RECORD FISCAL 2027 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Delivers Record Second Quarter Results Across Key Financial Metrics</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Raises Full Year Fiscal 2027 Outlook</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Completes Strategic Acquisition of National Technology Integrators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Highlights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 metrics compared to the second quarter of fiscal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shd w:fill="FFFFFF" w:val="clear"/>
        </w:rPr>
        <w:t xml:space="preserve">Contract revenues of </w:t>
      </w:r>
      <w:r>
        <w:rPr>
          <w:rFonts w:ascii="Times New Roman;serif" w:hAnsi="Times New Roman;serif"/>
          <w:b/>
          <w:color w:val="000000"/>
          <w:sz w:val="20"/>
        </w:rPr>
        <w:t>$2.006 billion</w:t>
      </w:r>
      <w:r>
        <w:rPr>
          <w:rFonts w:ascii="Times New Roman;serif" w:hAnsi="Times New Roman;serif"/>
          <w:b/>
          <w:color w:val="000000"/>
          <w:sz w:val="13"/>
        </w:rPr>
        <w:t>(*)</w:t>
      </w:r>
      <w:r>
        <w:rPr>
          <w:color w:val="000000"/>
          <w:shd w:fill="FFFFFF" w:val="clear"/>
        </w:rPr>
        <w:t xml:space="preserve"> </w:t>
      </w:r>
      <w:r>
        <w:rPr>
          <w:rFonts w:ascii="Times New Roman;serif" w:hAnsi="Times New Roman;serif"/>
          <w:b/>
          <w:color w:val="000000"/>
          <w:sz w:val="20"/>
        </w:rPr>
        <w:t>increased</w:t>
      </w:r>
      <w:r>
        <w:rPr>
          <w:color w:val="000000"/>
          <w:shd w:fill="FFFFFF" w:val="clear"/>
        </w:rPr>
        <w:t xml:space="preserve"> </w:t>
      </w:r>
      <w:r>
        <w:rPr>
          <w:rFonts w:ascii="Times New Roman;serif" w:hAnsi="Times New Roman;serif"/>
          <w:b/>
          <w:color w:val="000000"/>
          <w:sz w:val="20"/>
        </w:rPr>
        <w:t xml:space="preserve">45.6%, </w:t>
      </w:r>
      <w:r>
        <w:rPr>
          <w:rFonts w:ascii="Times New Roman;serif" w:hAnsi="Times New Roman;serif"/>
          <w:b/>
          <w:color w:val="000000"/>
          <w:sz w:val="20"/>
          <w:shd w:fill="FFFFFF" w:val="clear"/>
        </w:rPr>
        <w:t xml:space="preserve">or </w:t>
      </w:r>
      <w:r>
        <w:rPr>
          <w:rFonts w:ascii="Times New Roman;serif" w:hAnsi="Times New Roman;serif"/>
          <w:b/>
          <w:color w:val="000000"/>
          <w:sz w:val="20"/>
        </w:rPr>
        <w:t>16.7% organically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color w:val="000000"/>
          <w:sz w:val="20"/>
          <w:shd w:fill="FFFFFF" w:val="clear"/>
        </w:rPr>
        <w:t>Net income of $115.6 million</w:t>
      </w:r>
      <w:r>
        <w:rPr>
          <w:rFonts w:ascii="Times New Roman;serif" w:hAnsi="Times New Roman;serif"/>
          <w:b/>
          <w:color w:val="000000"/>
          <w:sz w:val="13"/>
        </w:rPr>
        <w:t>(*)</w:t>
      </w:r>
      <w:r>
        <w:rPr>
          <w:rFonts w:ascii="Times New Roman;serif" w:hAnsi="Times New Roman;serif"/>
          <w:b/>
          <w:color w:val="000000"/>
          <w:sz w:val="20"/>
          <w:shd w:fill="FFFFFF" w:val="clear"/>
        </w:rPr>
        <w:t xml:space="preserve">, or </w:t>
      </w:r>
      <w:r>
        <w:rPr>
          <w:rFonts w:ascii="Times New Roman;serif" w:hAnsi="Times New Roman;serif"/>
          <w:b/>
          <w:color w:val="000000"/>
          <w:sz w:val="20"/>
        </w:rPr>
        <w:t>$3.81</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per common share diluted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Adjusted Net Income of $160.7 million</w:t>
      </w:r>
      <w:r>
        <w:rPr>
          <w:rFonts w:ascii="Times New Roman;serif" w:hAnsi="Times New Roman;serif"/>
          <w:b/>
          <w:color w:val="000000"/>
          <w:sz w:val="13"/>
        </w:rPr>
        <w:t>(*)</w:t>
      </w:r>
      <w:r>
        <w:rPr>
          <w:rFonts w:ascii="Times New Roman;serif" w:hAnsi="Times New Roman;serif"/>
          <w:b/>
          <w:color w:val="000000"/>
          <w:sz w:val="20"/>
        </w:rPr>
        <w:t>, or $5.29</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per common share diluted</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color w:val="000000"/>
          <w:sz w:val="20"/>
        </w:rPr>
        <w:t>Adjusted EBITDA of $315.5 million</w:t>
      </w:r>
      <w:r>
        <w:rPr>
          <w:rFonts w:ascii="Times New Roman;serif" w:hAnsi="Times New Roman;serif"/>
          <w:b/>
          <w:color w:val="000000"/>
          <w:sz w:val="13"/>
        </w:rPr>
        <w:t>(*)</w:t>
      </w:r>
      <w:r>
        <w:rPr>
          <w:rFonts w:ascii="Times New Roman;serif" w:hAnsi="Times New Roman;serif"/>
          <w:b/>
          <w:color w:val="000000"/>
          <w:sz w:val="20"/>
        </w:rPr>
        <w:t>, or 15.7% of contract revenues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Total backlog of $12.242 billion</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an increase of 53.2%</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Acquired National Technology Integrators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3"/>
        </w:rPr>
        <w:t xml:space="preserve">(*) </w:t>
      </w:r>
      <w:r>
        <w:rPr>
          <w:rFonts w:ascii="Times New Roman;serif" w:hAnsi="Times New Roman;serif"/>
          <w:b w:val="false"/>
          <w:color w:val="000000"/>
          <w:sz w:val="20"/>
        </w:rPr>
        <w:t>Amount represents quarterly record or second quarter record result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Palm Beach, Florida, August 26, 2026 - Dycom Industries, Inc. (NYSE: DY) announced today its results for the second quarter ended August 1,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Dycom delivered record organic first half revenue, increased profitability, and continued above-market growth,” said Dan Peyovich, Dycom’s President and Chief Executive Officer. “Demand across our portfolio is stronger than ever, fueled by a generational deployment of digital infrastructure that is projected to go well into the next decade. We secured significant new awards, growing our backlog to a record level. We also officially welcomed National Technology Integrators to the Dycom family, further enhancing our leadership in digital and critical infrastructure and diversifying our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Our strong performance and confidence in our growth trajectory have enabled us to raise our full-year outlook. The strategic investments we are making to expand our skilled workforce and grow our Building Systems segment position us to capitalize on the opportunities we see ahead. I want to thank all of our teammates for their continuous dedication to safety and execution, which allows us to deliver value for our customers and shareholders.”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tbl>
      <w:tblPr>
        <w:tblW w:w="9144" w:type="dxa"/>
        <w:jc w:val="left"/>
        <w:tblInd w:w="0" w:type="dxa"/>
        <w:tblLayout w:type="fixed"/>
        <w:tblCellMar>
          <w:top w:w="28" w:type="dxa"/>
          <w:left w:w="28" w:type="dxa"/>
          <w:bottom w:w="28" w:type="dxa"/>
          <w:right w:w="28" w:type="dxa"/>
        </w:tblCellMar>
      </w:tblPr>
      <w:tblGrid>
        <w:gridCol w:w="1612"/>
        <w:gridCol w:w="1420"/>
        <w:gridCol w:w="1423"/>
        <w:gridCol w:w="211"/>
        <w:gridCol w:w="871"/>
        <w:gridCol w:w="271"/>
        <w:gridCol w:w="109"/>
        <w:gridCol w:w="109"/>
        <w:gridCol w:w="109"/>
        <w:gridCol w:w="211"/>
        <w:gridCol w:w="766"/>
        <w:gridCol w:w="271"/>
        <w:gridCol w:w="109"/>
        <w:gridCol w:w="109"/>
        <w:gridCol w:w="109"/>
        <w:gridCol w:w="255"/>
        <w:gridCol w:w="256"/>
        <w:gridCol w:w="551"/>
        <w:gridCol w:w="109"/>
        <w:gridCol w:w="109"/>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Contract Revenues Growth %</w:t>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Adjusted Net Income</w:t>
            </w:r>
            <w:r>
              <w:rPr>
                <w:rFonts w:ascii="Times New Roman;serif" w:hAnsi="Times New Roman;serif"/>
                <w:b w:val="false"/>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EPS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Adjusted Diluted EPS</w:t>
            </w:r>
            <w:r>
              <w:rPr>
                <w:rFonts w:ascii="Times New Roman;serif" w:hAnsi="Times New Roman;serif"/>
                <w:b w:val="false"/>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 of contract revenues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bps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343025" cy="2476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In </w:t>
      </w:r>
      <w:r>
        <w:rPr>
          <w:rFonts w:ascii="Times New Roman;serif" w:hAnsi="Times New Roman;serif"/>
          <w:b/>
          <w:i/>
          <w:color w:val="000000"/>
          <w:sz w:val="20"/>
        </w:rPr>
        <w:t xml:space="preserve">Communications </w:t>
      </w:r>
      <w:r>
        <w:rPr>
          <w:rFonts w:ascii="Times New Roman;serif" w:hAnsi="Times New Roman;serif"/>
          <w:b w:val="false"/>
          <w:color w:val="000000"/>
          <w:sz w:val="20"/>
        </w:rPr>
        <w:t>for the quarter ended August 1, 2026, total contract revenues of $1.608 billion increased 16.7% organically compared to the prior year quarter. Growth during the period was primarily driven by robust fiber-to-the-home programs, increased long-haul and middle-mile fiber infrastructure builds, and growing maintenance and operations services. Non-GAAP Adjusted EBITDA margin of 13.6% decreased 134 bps over the prior year quarter, reflecting higher investments to scale operations, impacts on segment operating leverage from wireless projects deferred into next year, and cost pressure in the segment from higher fuel prices year-over-year.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In </w:t>
      </w:r>
      <w:r>
        <w:rPr>
          <w:rFonts w:ascii="Times New Roman;serif" w:hAnsi="Times New Roman;serif"/>
          <w:b/>
          <w:i/>
          <w:color w:val="000000"/>
          <w:sz w:val="20"/>
        </w:rPr>
        <w:t xml:space="preserve">Building Systems </w:t>
      </w:r>
      <w:r>
        <w:rPr>
          <w:rFonts w:ascii="Times New Roman;serif" w:hAnsi="Times New Roman;serif"/>
          <w:b w:val="false"/>
          <w:color w:val="000000"/>
          <w:sz w:val="20"/>
        </w:rPr>
        <w:t>for the quarter ended August 1, 2026, total contract revenues of $397.5 million exceeded expectations as the segment continues to experience rapid growth. Non-GAAP Adjusted EBITDA margin of 24.5% was driven by strong operational execution, increased operating leverage, and favorable changes in cost estimates on projects and scope of services.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acquisition of National Technology Integrators during the second quarter of fiscal 2027. The acquired business performed well and contributed approximately $22.9 million of revenue during the quarter. National Technology Integrators specializes in inside-plant structured cabling, including within data centers, as well as advanced audio-visual and security systems, with operations spanning Washington D.C, Maryland, Virginia, Texas and the Midwest.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tbl>
      <w:tblPr>
        <w:tblW w:w="9141" w:type="dxa"/>
        <w:jc w:val="left"/>
        <w:tblInd w:w="0" w:type="dxa"/>
        <w:tblLayout w:type="fixed"/>
        <w:tblCellMar>
          <w:top w:w="28" w:type="dxa"/>
          <w:left w:w="28" w:type="dxa"/>
          <w:bottom w:w="28" w:type="dxa"/>
          <w:right w:w="28" w:type="dxa"/>
        </w:tblCellMar>
      </w:tblPr>
      <w:tblGrid>
        <w:gridCol w:w="1612"/>
        <w:gridCol w:w="1420"/>
        <w:gridCol w:w="1423"/>
        <w:gridCol w:w="228"/>
        <w:gridCol w:w="829"/>
        <w:gridCol w:w="293"/>
        <w:gridCol w:w="109"/>
        <w:gridCol w:w="109"/>
        <w:gridCol w:w="109"/>
        <w:gridCol w:w="211"/>
        <w:gridCol w:w="766"/>
        <w:gridCol w:w="271"/>
        <w:gridCol w:w="109"/>
        <w:gridCol w:w="109"/>
        <w:gridCol w:w="109"/>
        <w:gridCol w:w="255"/>
        <w:gridCol w:w="256"/>
        <w:gridCol w:w="551"/>
        <w:gridCol w:w="109"/>
        <w:gridCol w:w="109"/>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Contract Revenues Growth %</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3"/>
              </w:rPr>
              <w:t>1</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Adjusted Net Income</w:t>
            </w:r>
            <w:r>
              <w:rPr>
                <w:rFonts w:ascii="Times New Roman;serif" w:hAnsi="Times New Roman;serif"/>
                <w:b w:val="false"/>
                <w:color w:val="000000"/>
                <w:sz w:val="13"/>
              </w:rPr>
              <w:t>2</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EPS</w:t>
            </w:r>
            <w:r>
              <w:rPr>
                <w:rFonts w:ascii="Times New Roman;serif" w:hAnsi="Times New Roman;serif"/>
                <w:b w:val="false"/>
                <w:color w:val="000000"/>
                <w:sz w:val="13"/>
              </w:rPr>
              <w:t>1</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Adjusted Diluted EPS</w:t>
            </w:r>
            <w:r>
              <w:rPr>
                <w:rFonts w:ascii="Times New Roman;serif" w:hAnsi="Times New Roman;serif"/>
                <w:b w:val="false"/>
                <w:color w:val="000000"/>
                <w:sz w:val="13"/>
              </w:rPr>
              <w:t>2</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 of contract revenues</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bps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Fiscal 2027 Annual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its strong second quarter results and expectations for the remainder of the year, the Company is updating its full year fiscal 2027 outlook and now expects the following:</w:t>
      </w:r>
    </w:p>
    <w:tbl>
      <w:tblPr>
        <w:tblW w:w="5158" w:type="dxa"/>
        <w:jc w:val="left"/>
        <w:tblInd w:w="0" w:type="dxa"/>
        <w:tblLayout w:type="fixed"/>
        <w:tblCellMar>
          <w:top w:w="28" w:type="dxa"/>
          <w:left w:w="28" w:type="dxa"/>
          <w:bottom w:w="28" w:type="dxa"/>
          <w:right w:w="28" w:type="dxa"/>
        </w:tblCellMar>
      </w:tblPr>
      <w:tblGrid>
        <w:gridCol w:w="949"/>
        <w:gridCol w:w="837"/>
        <w:gridCol w:w="838"/>
        <w:gridCol w:w="739"/>
        <w:gridCol w:w="739"/>
        <w:gridCol w:w="1056"/>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Ending</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2027</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$7.48 billion to $7.66 billion</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 by segment:</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$5.90 billion to $6.01 billion</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$1.58 billion to $1.65 billion</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w:t>
      </w:r>
      <w:r>
        <w:rPr>
          <w:rFonts w:ascii="Times New Roman;serif" w:hAnsi="Times New Roman;serif"/>
          <w:b/>
          <w:i/>
          <w:color w:val="000000"/>
          <w:sz w:val="20"/>
        </w:rPr>
        <w:t>Communications</w:t>
      </w:r>
      <w:r>
        <w:rPr>
          <w:rFonts w:ascii="Times New Roman;serif" w:hAnsi="Times New Roman;serif"/>
          <w:b w:val="false"/>
          <w:color w:val="000000"/>
          <w:sz w:val="20"/>
        </w:rPr>
        <w:t xml:space="preserve">, total contract revenues now reflects the deferral of approximately $150 million of wireless program revenues into fiscal 2028. Overall program scope is unchanged. In </w:t>
      </w:r>
      <w:r>
        <w:rPr>
          <w:rFonts w:ascii="Times New Roman;serif" w:hAnsi="Times New Roman;serif"/>
          <w:b/>
          <w:i/>
          <w:color w:val="000000"/>
          <w:sz w:val="20"/>
        </w:rPr>
        <w:t>Building Systems</w:t>
      </w:r>
      <w:r>
        <w:rPr>
          <w:rFonts w:ascii="Times New Roman;serif" w:hAnsi="Times New Roman;serif"/>
          <w:b w:val="false"/>
          <w:color w:val="000000"/>
          <w:sz w:val="20"/>
        </w:rPr>
        <w:t xml:space="preserve">, the Company is increasing its revenue outlook for the year, driven by higher expected revenue from Power Solutions and the contribution of acquired revenues from National Technology Integrators. </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0"/>
        </w:rPr>
        <w:t xml:space="preserve">The Company continues to expect an increase in consolidated Non-GAAP Adjusted EBITDA margin for the year. In </w:t>
      </w:r>
      <w:r>
        <w:rPr>
          <w:rFonts w:ascii="Times New Roman;serif" w:hAnsi="Times New Roman;serif"/>
          <w:b/>
          <w:i/>
          <w:color w:val="000000"/>
          <w:sz w:val="20"/>
        </w:rPr>
        <w:t>Communications</w:t>
      </w:r>
      <w:r>
        <w:rPr>
          <w:rFonts w:ascii="Times New Roman;serif" w:hAnsi="Times New Roman;serif"/>
          <w:b w:val="false"/>
          <w:color w:val="000000"/>
          <w:sz w:val="20"/>
        </w:rPr>
        <w:t xml:space="preserve">, the Company now expects a slight decline in Non-GAAP Adjusted EBITDA margin compared to the prior year reflecting investments to scale operations and operating leverage impacts from deferred wireless program revenues. In </w:t>
      </w:r>
      <w:r>
        <w:rPr>
          <w:rFonts w:ascii="Times New Roman;serif" w:hAnsi="Times New Roman;serif"/>
          <w:b/>
          <w:i/>
          <w:color w:val="000000"/>
          <w:sz w:val="20"/>
        </w:rPr>
        <w:t>Building Systems</w:t>
      </w:r>
      <w:r>
        <w:rPr>
          <w:rFonts w:ascii="Times New Roman;serif" w:hAnsi="Times New Roman;serif"/>
          <w:b w:val="false"/>
          <w:color w:val="000000"/>
          <w:sz w:val="20"/>
        </w:rPr>
        <w:t xml:space="preserve">, the Company expects Adjusted EBITDA margin to be in the high-teens to low-twenties as a percentage of segment </w:t>
      </w:r>
    </w:p>
    <w:p>
      <w:pPr>
        <w:pStyle w:val="TextBody"/>
        <w:bidi w:val="0"/>
        <w:spacing w:before="0" w:after="0"/>
        <w:jc w:val="left"/>
        <w:rPr/>
      </w:pPr>
      <w:r>
        <w:rPr/>
        <w:drawing>
          <wp:inline distT="0" distB="0" distL="0" distR="0">
            <wp:extent cx="1343025" cy="2476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remainder of fiscal 2027 as it capitalizes on a strong opportunity set and benefits from increased operating leverage in the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Third Quarter Fiscal 2027 Outlook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third quarter of fiscal 2027, the Company currently expects the following:</w:t>
      </w:r>
    </w:p>
    <w:tbl>
      <w:tblPr>
        <w:tblW w:w="8159" w:type="dxa"/>
        <w:jc w:val="left"/>
        <w:tblInd w:w="0" w:type="dxa"/>
        <w:tblLayout w:type="fixed"/>
        <w:tblCellMar>
          <w:top w:w="28" w:type="dxa"/>
          <w:left w:w="28" w:type="dxa"/>
          <w:bottom w:w="28" w:type="dxa"/>
          <w:right w:w="28" w:type="dxa"/>
        </w:tblCellMar>
      </w:tblPr>
      <w:tblGrid>
        <w:gridCol w:w="2034"/>
        <w:gridCol w:w="1794"/>
        <w:gridCol w:w="1797"/>
        <w:gridCol w:w="741"/>
        <w:gridCol w:w="741"/>
        <w:gridCol w:w="1052"/>
      </w:tblGrid>
      <w:tr>
        <w:trPr/>
        <w:tc>
          <w:tcPr>
            <w:tcW w:w="203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Ending</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2026</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$1.90 billion to $1.98 billion</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$281 million to $302 million</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Diluted EPS (excluding amortization expense)</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$4.33 to $4.79</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Company’s outlook, please see the “Outlook Expectations Summary” available on the Company’s Investor Center website posted in connection with the conference call discussed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reports its financial results in accordance with U.S. generally accepted accounting principles (GAAP). In quarterly results releases, conference calls, webcasts, slide presentations and other materials, the Company may use or discuss non-GAAP financial measures, as defined by Regulation G of the Securities and Exchange Commission. The Company does not reconcile its forward-looking non-GAAP financial measures to the corresponding U.S. GAAP measures, due to variability in making projections and/or certain information not being ascertainable; and because not all of the information and components necessary for a quantitative reconciliation of these forward-looking non-GAAP financial measures to the most directly comparable U.S. GAAP financial measure, is available to the Company without unreasonable efforts. For the same reasons, the Company is unable to address the probable significance of the unavailable information. See Reconciliation of Non-GAAP Financial Measures to Comparable GAAP Financial Measures in the press release tables that follow.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Information and Other Selected Data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Company will host a conference call to discuss quarter results on Wednesday, August 26, 2026 at 9:00 a.m. ET. Interested parties may participate in the question and answer session of the conference call by registering at </w:t>
      </w:r>
      <w:r>
        <w:rPr>
          <w:rFonts w:ascii="Times New Roman;serif" w:hAnsi="Times New Roman;serif"/>
          <w:b w:val="false"/>
          <w:color w:val="0000FF"/>
          <w:sz w:val="20"/>
        </w:rPr>
        <w:t>https://register-conf.media-server.com/register/BIf484c51243cb4fb39720bd7bb47c68ca</w:t>
      </w:r>
      <w:r>
        <w:rPr>
          <w:rFonts w:ascii="Times New Roman;serif" w:hAnsi="Times New Roman;serif"/>
          <w:b w:val="false"/>
          <w:color w:val="3051F2"/>
          <w:sz w:val="20"/>
        </w:rPr>
        <w:t>.</w:t>
      </w:r>
      <w:r>
        <w:rPr>
          <w:color w:val="0E32E1"/>
        </w:rPr>
        <w:t xml:space="preserve"> </w:t>
      </w:r>
      <w:r>
        <w:rPr>
          <w:rFonts w:ascii="Times New Roman;serif" w:hAnsi="Times New Roman;serif"/>
          <w:b w:val="false"/>
          <w:color w:val="000000"/>
          <w:sz w:val="20"/>
        </w:rPr>
        <w:t xml:space="preserve">Upon registration, participants will receive a dial-in number and unique PIN to access the call. Participants are encouraged to join approximately ten minutes prior to the scheduled start time.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For all other attendees, a live listen-only audio webcast of the call, including an accompanying slide presentation, can be accessed directly at </w:t>
      </w:r>
      <w:r>
        <w:rPr>
          <w:rFonts w:ascii="Times New Roman;serif" w:hAnsi="Times New Roman;serif"/>
          <w:b w:val="false"/>
          <w:color w:val="0000FF"/>
          <w:sz w:val="20"/>
        </w:rPr>
        <w:t>https://edge.media-server.com/mmc/p/ziwkb9q2</w:t>
      </w:r>
      <w:r>
        <w:rPr>
          <w:rFonts w:ascii="Times New Roman;serif" w:hAnsi="Times New Roman;serif"/>
          <w:b w:val="false"/>
          <w:color w:val="3051F2"/>
          <w:sz w:val="20"/>
        </w:rPr>
        <w:t xml:space="preserve">. </w:t>
      </w:r>
      <w:r>
        <w:rPr>
          <w:rFonts w:ascii="Times New Roman;serif" w:hAnsi="Times New Roman;serif"/>
          <w:b w:val="false"/>
          <w:color w:val="000000"/>
          <w:sz w:val="20"/>
        </w:rPr>
        <w:t xml:space="preserve">A replay of the live webcast and the related materials will be available on the Company's Investor Center website at </w:t>
      </w:r>
      <w:r>
        <w:rPr>
          <w:rFonts w:ascii="Times New Roman;serif" w:hAnsi="Times New Roman;serif"/>
          <w:b w:val="false"/>
          <w:color w:val="0000FF"/>
          <w:sz w:val="20"/>
        </w:rPr>
        <w:t>https://ir.dycomind.com</w:t>
      </w:r>
      <w:r>
        <w:rPr>
          <w:color w:val="0000EE"/>
        </w:rPr>
        <w:t xml:space="preserve"> </w:t>
      </w:r>
      <w:r>
        <w:rPr>
          <w:rFonts w:ascii="Times New Roman;serif" w:hAnsi="Times New Roman;serif"/>
          <w:b w:val="false"/>
          <w:color w:val="000000"/>
          <w:sz w:val="20"/>
        </w:rPr>
        <w:t>for approximately 120 days following the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Dycom Industries,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Dycom is a leading provider of specialty contracting services to the telecommunications infrastructure and utility industries throughout the United States. These services include program management, planning, engineering and design; aerial, underground, and wireless construction; maintenance; and fulfillment services for telecommunications providers. Additionally, Dycom provides electrical contracting services for data centers and other vital industries, underground facility locating services for various utilities, including telecommunications providers, as well as other construction and maintenance services for electric and gas utilities.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Information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Forward looking statements can be identified with words such as “believe,” “expect,” “anticipate,” “estimate,” “intend,” “project,” “forecast,” “target,” “outlook,” “may,” “should,” “could,” and similar expressions, as well as statements written in the future tense. These statements, as well as any other written or oral forward-looking statements we may make from time to time in other SEC filings or other public communications are intended to qualify for the “safe harbor” from liability established by the Private Securities Litigation Reform Act of 1995. These forward-looking statements include those related to the Company’s current assumptions regarding future business and financial performance, including, but not limited to, those statements found under the “Outlook” section of this press release. Forward-looking statements are based on management’s expectations, estimates and projections, are made solely as of the date these statements are made, and are subject to both known and unknown risks and </w:t>
      </w:r>
    </w:p>
    <w:p>
      <w:pPr>
        <w:pStyle w:val="TextBody"/>
        <w:bidi w:val="0"/>
        <w:spacing w:before="0" w:after="0"/>
        <w:jc w:val="left"/>
        <w:rPr/>
      </w:pPr>
      <w:r>
        <w:rPr/>
        <w:drawing>
          <wp:inline distT="0" distB="0" distL="0" distR="0">
            <wp:extent cx="1343025" cy="2476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uncertainties that may cause the actual results and occurrences discussed in these forward-looking statements to differ materially from those referenced or implied in the forward-looking statements contained in this press release. The most significant of these known risks and uncertainties are described in the Company’s Form 10-K, Form 10-Q, and Form 8-K reports (including all amendments to those reports) and include: projections of revenues, income or loss, or capital expenditures; future economic conditions and trends in the industries we serve; changes in government policies and laws affecting our business, including related to funding for infrastructure projects, trade restrictions and tariff policies or changes to tax laws; our highly concentrated customer base; the competitive environment in which we operate; changes to customer capital budgets and spending priorities; our plans for future operations, growth and services, including contract backlog; our plans for future acquisitions, dispositions or financial needs; expected benefits and synergies of businesses acquired and future opportunities for the combined businesses; our significant accounts receivable and contract assets; the availability of capital; restrictions imposed by our senior notes and credit agreement; use of our cash flow to service our debt; potential liabilities or other adverse effects arising from occupational health, safety, and other regulatory matters; potential exposure to environmental liabilities; our potential exposure to litigation, indemnity claims, warranty claims, and other liabilities and disputes; whether the carrying value of the Company’s assets may be impaired; the impacts of public health emergencies; the impact of seasonality and adverse climate and weather conditions; the impact of technological change on our customers’ spending and our ability to keep pace with technological developments; our ability to attract qualified employees and subcontractors; the impact of a failure, outage or cybersecurity breach of our technology or information technology systems or those of third-party providers; and other risks and uncertainties detailed from time to time in the Company’s filings with the Securities and Exchange Commission. The Company does not undertake any obligation to update its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more information,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Callie Tomasso, Vice President Investor Relations &amp; Corporate Communications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investorrelations@dycomind.com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Phone: (561) 627-7171</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---Tables Follow---</w:t>
      </w:r>
    </w:p>
    <w:p>
      <w:pPr>
        <w:pStyle w:val="TextBody"/>
        <w:bidi w:val="0"/>
        <w:spacing w:before="0" w:after="0"/>
        <w:jc w:val="left"/>
        <w:rPr/>
      </w:pPr>
      <w:r>
        <w:rPr/>
        <w:drawing>
          <wp:inline distT="0" distB="0" distL="0" distR="0">
            <wp:extent cx="1343025" cy="2476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8281" w:type="dxa"/>
        <w:jc w:val="center"/>
        <w:tblInd w:w="0" w:type="dxa"/>
        <w:tblLayout w:type="fixed"/>
        <w:tblCellMar>
          <w:top w:w="28" w:type="dxa"/>
          <w:left w:w="28" w:type="dxa"/>
          <w:bottom w:w="28" w:type="dxa"/>
          <w:right w:w="28" w:type="dxa"/>
        </w:tblCellMar>
      </w:tblPr>
      <w:tblGrid>
        <w:gridCol w:w="1453"/>
        <w:gridCol w:w="1272"/>
        <w:gridCol w:w="1279"/>
        <w:gridCol w:w="304"/>
        <w:gridCol w:w="1410"/>
        <w:gridCol w:w="157"/>
        <w:gridCol w:w="157"/>
        <w:gridCol w:w="157"/>
        <w:gridCol w:w="157"/>
        <w:gridCol w:w="304"/>
        <w:gridCol w:w="1410"/>
        <w:gridCol w:w="221"/>
      </w:tblGrid>
      <w:tr>
        <w:trPr/>
        <w:tc>
          <w:tcPr>
            <w:tcW w:w="145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82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tc>
      </w:tr>
      <w:tr>
        <w:trPr/>
        <w:tc>
          <w:tcPr>
            <w:tcW w:w="82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82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82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8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7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3,052,242 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2,756,895 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2,534,335 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2,369,383 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6,540,044 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5,979,182 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7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1,299,885 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1,006,900 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2,791,336 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2,810,497 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claims - non-current</w:t>
            </w:r>
          </w:p>
        </w:tc>
        <w:tc>
          <w:tcPr>
            <w:tcW w:w="1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 - non-current</w:t>
            </w:r>
          </w:p>
        </w:tc>
        <w:tc>
          <w:tcPr>
            <w:tcW w:w="1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4,476,138 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4,120,046 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6,540,044 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5,979,182 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343025" cy="2476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09"/>
        <w:gridCol w:w="1057"/>
        <w:gridCol w:w="1037"/>
        <w:gridCol w:w="215"/>
        <w:gridCol w:w="997"/>
        <w:gridCol w:w="111"/>
        <w:gridCol w:w="109"/>
        <w:gridCol w:w="109"/>
        <w:gridCol w:w="109"/>
        <w:gridCol w:w="211"/>
        <w:gridCol w:w="976"/>
        <w:gridCol w:w="109"/>
        <w:gridCol w:w="109"/>
        <w:gridCol w:w="109"/>
        <w:gridCol w:w="109"/>
        <w:gridCol w:w="215"/>
        <w:gridCol w:w="997"/>
        <w:gridCol w:w="111"/>
        <w:gridCol w:w="109"/>
        <w:gridCol w:w="109"/>
        <w:gridCol w:w="109"/>
        <w:gridCol w:w="211"/>
        <w:gridCol w:w="976"/>
        <w:gridCol w:w="109"/>
        <w:gridCol w:w="109"/>
        <w:gridCol w:w="109"/>
        <w:gridCol w:w="109"/>
        <w:gridCol w:w="156"/>
      </w:tblGrid>
      <w:tr>
        <w:trPr/>
        <w:tc>
          <w:tcPr>
            <w:tcW w:w="14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483" w:type="dxa"/>
            <w:gridSpan w:val="4"/>
            <w:tcBorders/>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2,005,907 </w:t>
            </w:r>
          </w:p>
        </w:tc>
        <w:tc>
          <w:tcPr>
            <w:tcW w:w="11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3,970,689 </w:t>
            </w:r>
          </w:p>
        </w:tc>
        <w:tc>
          <w:tcPr>
            <w:tcW w:w="11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earned revenues, excluding depreciation and amortization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3,143,410 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3</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1,813,912 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3,634,940 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260,685 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30,083,100 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30,027,734 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30,363,819 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30,373,045 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343025" cy="2476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075" w:type="dxa"/>
        <w:jc w:val="center"/>
        <w:tblInd w:w="0" w:type="dxa"/>
        <w:tblLayout w:type="fixed"/>
        <w:tblCellMar>
          <w:top w:w="28" w:type="dxa"/>
          <w:left w:w="28" w:type="dxa"/>
          <w:bottom w:w="28" w:type="dxa"/>
          <w:right w:w="28" w:type="dxa"/>
        </w:tblCellMar>
      </w:tblPr>
      <w:tblGrid>
        <w:gridCol w:w="924"/>
        <w:gridCol w:w="812"/>
        <w:gridCol w:w="818"/>
        <w:gridCol w:w="740"/>
        <w:gridCol w:w="407"/>
        <w:gridCol w:w="1022"/>
        <w:gridCol w:w="129"/>
        <w:gridCol w:w="129"/>
        <w:gridCol w:w="129"/>
        <w:gridCol w:w="444"/>
        <w:gridCol w:w="264"/>
        <w:gridCol w:w="667"/>
        <w:gridCol w:w="129"/>
        <w:gridCol w:w="129"/>
        <w:gridCol w:w="129"/>
        <w:gridCol w:w="481"/>
        <w:gridCol w:w="265"/>
        <w:gridCol w:w="666"/>
        <w:gridCol w:w="129"/>
        <w:gridCol w:w="129"/>
        <w:gridCol w:w="129"/>
        <w:gridCol w:w="428"/>
        <w:gridCol w:w="247"/>
        <w:gridCol w:w="729"/>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007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tc>
      </w:tr>
      <w:tr>
        <w:trPr/>
        <w:tc>
          <w:tcPr>
            <w:tcW w:w="1007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SUPPLEMENTAL SEGMENT DATA</w:t>
            </w:r>
          </w:p>
        </w:tc>
      </w:tr>
      <w:tr>
        <w:trPr/>
        <w:tc>
          <w:tcPr>
            <w:tcW w:w="1007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1,608,424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3,177,831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w:t>
            </w:r>
          </w:p>
        </w:tc>
      </w:tr>
      <w:tr>
        <w:trPr/>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397,483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792,858</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3,970,689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218,305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355,887</w:t>
            </w:r>
          </w:p>
        </w:tc>
      </w:tr>
      <w:tr>
        <w:trPr/>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167,257</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315,516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577,984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355,887</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 % of Contract Revenues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57"/>
        <w:gridCol w:w="490"/>
        <w:gridCol w:w="494"/>
        <w:gridCol w:w="244"/>
        <w:gridCol w:w="836"/>
        <w:gridCol w:w="126"/>
        <w:gridCol w:w="109"/>
        <w:gridCol w:w="109"/>
        <w:gridCol w:w="109"/>
        <w:gridCol w:w="593"/>
        <w:gridCol w:w="1732"/>
        <w:gridCol w:w="306"/>
        <w:gridCol w:w="109"/>
        <w:gridCol w:w="109"/>
        <w:gridCol w:w="109"/>
        <w:gridCol w:w="262"/>
        <w:gridCol w:w="766"/>
        <w:gridCol w:w="135"/>
        <w:gridCol w:w="109"/>
        <w:gridCol w:w="109"/>
        <w:gridCol w:w="109"/>
        <w:gridCol w:w="575"/>
        <w:gridCol w:w="1681"/>
        <w:gridCol w:w="427"/>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12 Months (included in Total 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12 Months (included in Total Backlog)</w:t>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millions)</w:t>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Backlog</w:t>
            </w:r>
            <w:r>
              <w:rPr>
                <w:rFonts w:ascii="Times New Roman;serif" w:hAnsi="Times New Roman;serif"/>
                <w:b/>
                <w:color w:val="000000"/>
                <w:sz w:val="13"/>
              </w:rPr>
              <w:t>4</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Systems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tables above may not add due to rounding.</w:t>
            </w:r>
          </w:p>
        </w:tc>
      </w:tr>
    </w:tbl>
    <w:p>
      <w:pPr>
        <w:pStyle w:val="TextBody"/>
        <w:bidi w:val="0"/>
        <w:spacing w:before="0" w:after="0"/>
        <w:jc w:val="left"/>
        <w:rPr/>
      </w:pPr>
      <w:r>
        <w:rPr/>
        <w:drawing>
          <wp:inline distT="0" distB="0" distL="0" distR="0">
            <wp:extent cx="1343025" cy="2476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COMPARABLE GAAP FINANCIAL MEASURES (CONTINUED)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reports its financial results in accordance with U.S. generally accepted accounting principles (GAAP). In the Company’s quarterly results releases, slide presentations, conference calls, and webcasts, it may use or discuss Non-GAAP financial measures, as defined by Regulation G of the Securities and Exchange Commission. The Company believes that the presentation of certain Non-GAAP financial measures in these materials provides information that is useful to investors because it allows for a more direct comparison of the Company’s performance for the period reported with the Company’s performance in prior periods. The Company cautions that Non-GAAP financial measures should be considered in addition to, but not as a substitute for, the Company’s reported GAAP results. Management defines the Non-GAAP financial measures used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Non-GAAP Organic Contract Revenues - contract revenues from businesses that are included for the entirety of both the current and prior year periods. Non-GAAP Organic Contract Revenue change percentage is calculated as the change in Non-GAAP Organic Contract Revenues from the comparable prior year period divided by the comparable prior year period Non-GAAP Organic Contract Revenues. Management believes Non-GAAP Organic Contract Revenues is a helpful measure for comparing the Company’s revenue performance with prior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Non-GAAP Adjusted EBITDA - EBITDA (earnings before interest, taxes, depreciation and amortization) adjusted for gain on sale of fixed assets, stock-based compensation expense, and certain non-recurring items. Management believes Non-GAAP Adjusted EBITDA is a helpful measure for comparing the Company’s operating performance with prior periods as well as with the performance of other companies with different capital structures or tax rates.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Adjusted Net Income - GAAP net income before amortization of intangible assets as well as certain non-recurring items and the related tax impacts. The tax impact of pre-tax adjustments reflects the Company’s estimated tax impact of specific adjustments and the effective tax rate used for financial planning for the applicable period. Management believes Non-GAAP Adjusted Net Income is a helpful measure for comparing the Company’s operating performance with prior periods. Beginning in the fiscal fourth quarter ending January 31, 2026, the Company excludes the impact of intangible amortization expense in its calculation of Non-GAAP Adjusted Net Income.</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Non-GAAP Adjusted Diluted Earnings per Common Share - Non-GAAP Adjusted Net Income divided by weighted average diluted shares outstanding. </w:t>
      </w:r>
    </w:p>
    <w:p>
      <w:pPr>
        <w:pStyle w:val="TextBody"/>
        <w:bidi w:val="0"/>
        <w:spacing w:before="0" w:after="0"/>
        <w:jc w:val="left"/>
        <w:rPr/>
      </w:pPr>
      <w:r>
        <w:rPr/>
        <w:drawing>
          <wp:inline distT="0" distB="0" distL="0" distR="0">
            <wp:extent cx="1343025" cy="2476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46"/>
        <w:gridCol w:w="961"/>
        <w:gridCol w:w="968"/>
        <w:gridCol w:w="411"/>
        <w:gridCol w:w="265"/>
        <w:gridCol w:w="666"/>
        <w:gridCol w:w="121"/>
        <w:gridCol w:w="121"/>
        <w:gridCol w:w="121"/>
        <w:gridCol w:w="234"/>
        <w:gridCol w:w="1085"/>
        <w:gridCol w:w="121"/>
        <w:gridCol w:w="121"/>
        <w:gridCol w:w="121"/>
        <w:gridCol w:w="121"/>
        <w:gridCol w:w="402"/>
        <w:gridCol w:w="265"/>
        <w:gridCol w:w="666"/>
        <w:gridCol w:w="121"/>
        <w:gridCol w:w="121"/>
        <w:gridCol w:w="121"/>
        <w:gridCol w:w="234"/>
        <w:gridCol w:w="1085"/>
        <w:gridCol w:w="121"/>
        <w:gridCol w:w="109"/>
        <w:gridCol w:w="109"/>
        <w:gridCol w:w="109"/>
        <w:gridCol w:w="159"/>
      </w:tblGrid>
      <w:tr>
        <w:trPr/>
        <w:tc>
          <w:tcPr>
            <w:tcW w:w="1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486" w:type="dxa"/>
            <w:gridSpan w:val="4"/>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ORGANIC CONTRACT REVENUES AND GROWTH %</w:t>
            </w:r>
          </w:p>
        </w:tc>
        <w:tc>
          <w:tcPr>
            <w:tcW w:w="486" w:type="dxa"/>
            <w:gridSpan w:val="4"/>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 - GAAP</w:t>
            </w:r>
          </w:p>
        </w:tc>
        <w:tc>
          <w:tcPr>
            <w:tcW w:w="4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3,970,689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Contract Revenues - GAAP Growth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45.6 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50.6 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 - GAAP</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3,970,689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Revenues from acquired businesses</w:t>
            </w:r>
            <w:r>
              <w:rPr>
                <w:rFonts w:ascii="Times New Roman;serif" w:hAnsi="Times New Roman;serif"/>
                <w:b w:val="false"/>
                <w:color w:val="000000"/>
                <w:sz w:val="13"/>
              </w:rPr>
              <w:t>5</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(397,483)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(792,859)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Organic Contract Revenues</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1,608,424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3,177,830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2,636,551 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Organic Contract Revenues Growth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20.5 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5"/>
        <w:gridCol w:w="953"/>
        <w:gridCol w:w="958"/>
        <w:gridCol w:w="351"/>
        <w:gridCol w:w="1238"/>
        <w:gridCol w:w="163"/>
        <w:gridCol w:w="163"/>
        <w:gridCol w:w="163"/>
        <w:gridCol w:w="163"/>
        <w:gridCol w:w="395"/>
        <w:gridCol w:w="1238"/>
        <w:gridCol w:w="163"/>
        <w:gridCol w:w="109"/>
        <w:gridCol w:w="109"/>
        <w:gridCol w:w="109"/>
        <w:gridCol w:w="248"/>
        <w:gridCol w:w="861"/>
        <w:gridCol w:w="112"/>
        <w:gridCol w:w="109"/>
        <w:gridCol w:w="109"/>
        <w:gridCol w:w="109"/>
        <w:gridCol w:w="228"/>
        <w:gridCol w:w="895"/>
        <w:gridCol w:w="17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NET INCOME AND NON-GAAP ADJUSTED DILUTED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Non-GAAP Adjusted Net Income:</w:t>
            </w:r>
          </w:p>
        </w:tc>
        <w:tc>
          <w:tcPr>
            <w:tcW w:w="17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Adjustments:</w:t>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2</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Adjustments:</w:t>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pre-tax adjustments</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net of tax</w:t>
            </w:r>
          </w:p>
        </w:tc>
        <w:tc>
          <w:tcPr>
            <w:tcW w:w="15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160,748 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295,070 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176,312 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diluted earnings per common share to Non-GAAP Adjusted Diluted Earnings per Common Share:</w:t>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common share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net of tax</w:t>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Diluted Earnings per Common Share</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Non-GAAP Adjusted Diluted Earnings per Common Share</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30,363,819 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29,242,455 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30,373,045 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29,253,040 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tables above may not add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343025" cy="2476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38"/>
        <w:gridCol w:w="965"/>
        <w:gridCol w:w="970"/>
        <w:gridCol w:w="517"/>
        <w:gridCol w:w="389"/>
        <w:gridCol w:w="392"/>
        <w:gridCol w:w="139"/>
        <w:gridCol w:w="139"/>
        <w:gridCol w:w="139"/>
        <w:gridCol w:w="612"/>
        <w:gridCol w:w="388"/>
        <w:gridCol w:w="393"/>
        <w:gridCol w:w="139"/>
        <w:gridCol w:w="139"/>
        <w:gridCol w:w="139"/>
        <w:gridCol w:w="491"/>
        <w:gridCol w:w="431"/>
        <w:gridCol w:w="350"/>
        <w:gridCol w:w="139"/>
        <w:gridCol w:w="139"/>
        <w:gridCol w:w="139"/>
        <w:gridCol w:w="645"/>
        <w:gridCol w:w="430"/>
        <w:gridCol w:w="351"/>
        <w:gridCol w:w="109"/>
        <w:gridCol w:w="109"/>
        <w:gridCol w:w="109"/>
        <w:gridCol w:w="165"/>
      </w:tblGrid>
      <w:tr>
        <w:trPr/>
        <w:tc>
          <w:tcPr>
            <w:tcW w:w="11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492" w:type="dxa"/>
            <w:gridSpan w:val="4"/>
            <w:tcBorders/>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492" w:type="dxa"/>
            <w:gridSpan w:val="4"/>
            <w:tcBorders/>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Non-GAAP Adjusted EBITDA:</w:t>
            </w:r>
          </w:p>
        </w:tc>
        <w:tc>
          <w:tcPr>
            <w:tcW w:w="12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60,854</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&amp; Amortization ("EBITDA")</w:t>
            </w:r>
          </w:p>
        </w:tc>
        <w:tc>
          <w:tcPr>
            <w:tcW w:w="12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307,567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561,456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315,516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205,527</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577,984</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Adjusted EBITDA % of contract revenues</w:t>
            </w:r>
          </w:p>
        </w:tc>
        <w:tc>
          <w:tcPr>
            <w:tcW w:w="12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2476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87"/>
        <w:gridCol w:w="949"/>
        <w:gridCol w:w="940"/>
        <w:gridCol w:w="645"/>
        <w:gridCol w:w="429"/>
        <w:gridCol w:w="375"/>
        <w:gridCol w:w="208"/>
        <w:gridCol w:w="208"/>
        <w:gridCol w:w="208"/>
        <w:gridCol w:w="836"/>
        <w:gridCol w:w="429"/>
        <w:gridCol w:w="375"/>
        <w:gridCol w:w="135"/>
        <w:gridCol w:w="135"/>
        <w:gridCol w:w="135"/>
        <w:gridCol w:w="467"/>
        <w:gridCol w:w="423"/>
        <w:gridCol w:w="358"/>
        <w:gridCol w:w="135"/>
        <w:gridCol w:w="135"/>
        <w:gridCol w:w="135"/>
        <w:gridCol w:w="624"/>
        <w:gridCol w:w="396"/>
        <w:gridCol w:w="438"/>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DYCOM INDUSTRIES,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COMMUNICATIONS SEGMENT - NON-GAAP ADJUSTED EBITDA</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2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Income before income taxes to Non-GAAP Adjusted EBITDA:</w:t>
            </w:r>
          </w:p>
        </w:tc>
        <w:tc>
          <w:tcPr>
            <w:tcW w:w="14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143,792</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262,639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239,320</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119,243</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4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210,637</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358,563</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218,305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205,527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355,887</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 of contract revenues</w:t>
            </w:r>
          </w:p>
        </w:tc>
        <w:tc>
          <w:tcPr>
            <w:tcW w:w="144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bl>
    <w:tbl>
      <w:tblPr>
        <w:tblW w:w="10205" w:type="dxa"/>
        <w:jc w:val="left"/>
        <w:tblInd w:w="0" w:type="dxa"/>
        <w:tblLayout w:type="fixed"/>
        <w:tblCellMar>
          <w:top w:w="28" w:type="dxa"/>
          <w:left w:w="28" w:type="dxa"/>
          <w:bottom w:w="28" w:type="dxa"/>
          <w:right w:w="28" w:type="dxa"/>
        </w:tblCellMar>
      </w:tblPr>
      <w:tblGrid>
        <w:gridCol w:w="1247"/>
        <w:gridCol w:w="1095"/>
        <w:gridCol w:w="1080"/>
        <w:gridCol w:w="681"/>
        <w:gridCol w:w="434"/>
        <w:gridCol w:w="317"/>
        <w:gridCol w:w="237"/>
        <w:gridCol w:w="237"/>
        <w:gridCol w:w="237"/>
        <w:gridCol w:w="841"/>
        <w:gridCol w:w="350"/>
        <w:gridCol w:w="237"/>
        <w:gridCol w:w="109"/>
        <w:gridCol w:w="109"/>
        <w:gridCol w:w="109"/>
        <w:gridCol w:w="480"/>
        <w:gridCol w:w="396"/>
        <w:gridCol w:w="385"/>
        <w:gridCol w:w="109"/>
        <w:gridCol w:w="109"/>
        <w:gridCol w:w="109"/>
        <w:gridCol w:w="573"/>
        <w:gridCol w:w="295"/>
        <w:gridCol w:w="429"/>
      </w:tblGrid>
      <w:tr>
        <w:trPr/>
        <w:tc>
          <w:tcPr>
            <w:tcW w:w="124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SYSTEMS SEGMENT - NON-GAAP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w:t>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Ended</w:t>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26, 2025</w:t>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Income before income taxes to Non-GAAP Adjusted EBITDA:</w:t>
            </w:r>
          </w:p>
        </w:tc>
        <w:tc>
          <w:tcPr>
            <w:tcW w:w="1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48,150</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48,781</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4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96,930</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fixed assets</w:t>
            </w:r>
          </w:p>
        </w:tc>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97,211</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 of contract revenues</w:t>
            </w:r>
          </w:p>
        </w:tc>
        <w:tc>
          <w:tcPr>
            <w:tcW w:w="143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343025" cy="24765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343025" cy="247650"/>
                    </a:xfrm>
                    <a:prstGeom prst="rect">
                      <a:avLst/>
                    </a:prstGeom>
                  </pic:spPr>
                </pic:pic>
              </a:graphicData>
            </a:graphic>
          </wp:inline>
        </w:drawing>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Notes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Results for the quarter ended August 1, 2026 include income tax benefits resulting from the vesting and exercise of share-based awards of $3.6 million, or $0.12 per share, compared to $0.6 million, or $0.02 per share, for the quarter ended July 26, 2025, and approximately $16.1 million, or $0.53 per share, and $2.8 million, or $0.09 per share, for the six months ended August 1, 2026 and July 26, 2025, respectively.</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The Company excludes amortization of intangible assets from its Non-GAAP Adjusted Net Income beginning with the results reported for the fourth quarter and fiscal year ended January 31, 2026. Amortization of intangible assets are impacted by the Company’s acquisition activities and therefore can vary from period to period. The exclusion of the amortization expense from the Company’s non-GAAP financial measures provides management with a consistent measure for assessing financial results. Prior periods have been adjusted for comparability with the current presentation as follows: Amortization expense of $11.9 million and $23.9 million, and the related tax impacts, has been excluded from the original reported Non-GAAP Adjusted Net Income for the quarter and six months ended July 26, 2025, respectively. </w:t>
      </w:r>
    </w:p>
    <w:p>
      <w:pPr>
        <w:pStyle w:val="TextBody"/>
        <w:bidi w:val="0"/>
        <w:spacing w:lineRule="auto" w:line="288" w:before="0" w:after="12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Includes stock-based compensation expense of $10.3 million and $8.1 million for the quarters ended August 1, 2026 and July 26, 2025, respectively, and $20.9 million and $17.2 million for the six months ended August 1, 2026 and July 26, 2025, respectively.</w:t>
      </w:r>
    </w:p>
    <w:p>
      <w:pPr>
        <w:pStyle w:val="TextBody"/>
        <w:bidi w:val="0"/>
        <w:spacing w:lineRule="auto" w:line="288" w:before="0" w:after="12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The Company’s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which are commonly used within the Communications segment, backlog is estimated based on the work performed in the preceding 12-month period, when applicable. When estimating backlog for newly initiated master service agreements and other long and short-term contracts, the Company also considers the anticipated scope of the contract and information received from the customer during the procurement process and, where applicable, other ancillary information. Building Systems segment backlog represents management’s estimate of contract revenues expected to be realized related to remaining performance obligations from the portion of firm orders under fixed price and modified fixed-price contracts not yet completed or for which work has not yet begun. The majority of the Company’s backlog comprises services under master service agreements and other long-term contracts. Backlog is not a measure defined by United States GAAP and should be considered in addition to, but not as a substitute for, information provided in accordance with GAAP. Participants in the Company’s industry also disclose a calculation of their backlog; however, the Company’s methodology for determining backlog may not be comparable to the methodologies used by others. The Company utilizes the calculation of backlog to assist in measuring aggregate awards under existing contractual relationships with its customers. The Company believes its backlog disclosures will assist investors in better understanding this estimate of the services to be performed pursuant to awards by its customers under existing contractual relationships.</w:t>
      </w:r>
    </w:p>
    <w:p>
      <w:pPr>
        <w:pStyle w:val="TextBody"/>
        <w:bidi w:val="0"/>
        <w:spacing w:lineRule="auto" w:line="288" w:before="0" w:after="120"/>
        <w:jc w:val="left"/>
        <w:rPr/>
      </w:pPr>
      <w:r>
        <w:rPr>
          <w:rFonts w:ascii="Times New Roman;serif" w:hAnsi="Times New Roman;serif"/>
          <w:b w:val="false"/>
          <w:color w:val="000000"/>
          <w:sz w:val="13"/>
        </w:rPr>
        <w:t xml:space="preserve">5 </w:t>
      </w:r>
      <w:r>
        <w:rPr>
          <w:rFonts w:ascii="Times New Roman;serif" w:hAnsi="Times New Roman;serif"/>
          <w:b w:val="false"/>
          <w:color w:val="000000"/>
          <w:sz w:val="20"/>
        </w:rPr>
        <w:t>Amounts represent contract revenues from acquired businesses that were not owned for the entirety of both the current and prior year periods.</w:t>
      </w:r>
    </w:p>
    <w:p>
      <w:pPr>
        <w:pStyle w:val="TextBody"/>
        <w:bidi w:val="0"/>
        <w:spacing w:before="0" w:after="0"/>
        <w:jc w:val="center"/>
        <w:rPr/>
      </w:pPr>
      <w:bookmarkStart w:id="0" w:name="q22027presentationmateri.htm"/>
      <w:bookmarkStart w:id="1" w:name="ksq22027presentationmateri"/>
      <w:bookmarkEnd w:id="0"/>
      <w:bookmarkEnd w:id="1"/>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jc w:val="center"/>
        <w:rPr>
          <w:color w:val="FFFFFF"/>
          <w:sz w:val="2"/>
        </w:rPr>
      </w:pPr>
      <w:r>
        <w:rPr>
          <w:color w:val="FFFFFF"/>
          <w:sz w:val="2"/>
        </w:rPr>
        <w:t xml:space="preserve">2ND QUARTER 2027 RESULTS August 26, 2026 THE PEOPLE CONNECTING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 CONCERNING FORWARD-LOOKING STATEMENTS This presentation contains forward-looking statements within the meaning of the Private Securities Litigation Reform Act of 1995. Forward looking statements can be identified with words such as “believe,” “expect,” “anticipate,” “estimate,” “intend,” “project,” “forecast,” “target,” “outlook,” “may,” “should,” “could,” and similar expressions, as well as statements written in the future tense. These statements, as well as any other written or oral forward-looking statements we may make from time to time in other SEC filings or other public communications are intended to qualify for the “safe harbor” from liability established by the Private Securities Litigation Reform Act of 1995. These forward-looking statements include those related to the Company’s current assumptions regarding future business and financial performance, including, but not limited to, those statements found under the “Outlook” section of this presentation. Forward-looking statements are based on management’s expectations, estimates and projections, are made solely as of the date these statements are made, and are subject to both known and unknown risks and uncertainties that may cause the actual results and occurrences discussed in these forward-looking statements to differ materially from those referenced or implied in the forward-looking statements contained in this presentation. The most significant of these known risks and uncertainties are described in the Company’s Form 10-K, Form 10-Q, and Form 8-K reports (including all amendments to those reports) and include: projections of revenues, income or loss, or capital expenditures; future economic conditions and trends in the industries we serve; changes in government policies and laws affecting our business, including related to funding for infrastructure projects, trade restrictions and tariff policies or changes to tax laws; our highly concentrated customer base; the competitive environment in which we operate; changes to customer capital budgets and spending priorities; our plans for future operations, growth and services, including contract backlog; our plans for future acquisitions, dispositions or financial needs; expected benefits and synergies of businesses acquired and future opportunities for the combined businesses; our significant accounts receivable and contract assets; the availability of capital; restrictions imposed by our senior notes and credit agreement; use of our cash flow to service our debt; potential liabilities or other adverse effects arising from occupational health, safety, and other regulatory matters; potential exposure to environmental liabilities; our potential exposure to litigation, indemnity claims, warranty claims, and other liabilities and disputes; whether the carrying value of the Company’s assets may be impaired; the impacts of public health emergencies; the impact of seasonality and adverse climate and weather conditions; the impact of technological change on our customers’ spending and our ability to keep pace with technological developments; our ability to attract qualified employees and subcontractors; the impact of a failure, outage or cybersecurity breach of our technology or information technology systems or those of third-party providers; and other risks and uncertainties detailed from time to time in the Company’s filings with the Securities and Exchange Commission. The Company does not undertake any obligation to update its forward-looking statements. NON-GAAP FINANCIAL MEASURES This presentation includes certain non-GAAP financial measures as defined by Regulation G of the SEC. As required by the SEC, an explanation of the non-GAAP financial measures and a reconciliation of those measures to the most directly comparable GAAP financial measures are provided beginning on slide 11 of this presentation. The Company does not reconcile its forward-looking non-GAAP financial measures to the corresponding U.S. GAAP measures, due to variability in making projections and/or certain information not being ascertainable; and because not all of the information and components necessary for a quantitative reconciliation of these forward-looking non-GAAP financial measures to the most directly comparable U.S. GAAP financial measure, is available to the Company without unreasonable efforts. For the same reasons, the Company is unable to address the probable significance of the unavailable information. Non-GAAP financial measures should be considered in addition to, but not as a substitute for, the Company’s reported GAAP results. IMPORTANT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 FINANCIAL HIGHLIGHTS Record Second Quarter Revenue and Strong Organic Growth $ MILLIONS, except EPS Q2 2027 Q2 2026 Y/Y Total Contract Revenues1 $ 2,005.9 $ 1,377.9 45.6% Organic Revenue Growth 16.7% Adjusted EBITDA $ 315.5 $ 205.5 53.5% Adjusted EBITDA Margin 15.7% 14.9% 81 bps Adjusted Diluted EPS2 $ 5.29 $ 3.64 45.3% Reconciliations of non-GAAP measures begin on slide 11 Dycom delivered record organic first half revenue and increased profitability. Demand across our portfolio is stronger than ever, fueled by a generational deployment of digital infrastructure that is projected to go well into the next decade. The strategic investments we are making to expand our skilled workforce and grow our Building Systems segment position us to capitalize on the opportunities we see ahead. – Dan Peyovich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BACKLOG Record Backlog Supports Multi-Year Visibility $ BILLIONS Next 12 Months Backlog $12.242 $7.989 $8.222 Q2 2026 Q3 2026 Q4 2026 Q1 2027 Q2 2027 $4.604 $4.994 $6.358 $6.397 $9.542 $11.906 1.4x Organic Book-to-Bill YTD 2027 +28% Total Backlog YTD 2027 Recent project awards continue to diversify backlog across customers, demand drivers, and geographies Total contracted backlog for long-haul, middle- mile, and inside-the-fence-fiber infrastructure builds exceeds $1 billion as of Q2 2027 $6.472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Q2 2027 Q2 2026 Y/Y $ MILLIONS Total Contract Revenues $ 1,608.4 $ 1,377.9 16.7% Adjusted EBITDA $ 218.3 $ 205.5 6.2% Adjusted EBITDA % 13.6% 14.9% (134) bps Q2 2027 Q2 2026 Y/Y $ MILLIONS Total Backlog3 $ 10,983 $ 7,989 37.5% Next 12 Months Backlog (included in Total Backlog) $ 5,362 $ 4,604 16.5% Q2 2027 Key Performance Drivers •</w:t>
        <w:tab/>
        <w:t xml:space="preserve"> Strong revenue growth driven by robust fiber-to-the-home programs, increased long-haul, middle-mile and inside-the-fence fiber infrastructure builds, and growing maintenance and operations services Robust Demand Outlook •</w:t>
        <w:tab/>
        <w:t xml:space="preserve"> Customers continue to scale multi- year fiber-to-the-home deployment programs •</w:t>
        <w:tab/>
        <w:t xml:space="preserve"> Investment in long-haul, middle- mile and inside-the-fence fiber infrastructure builds is driving significant demand COMMUNICATIONS SEGMENT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BUILDING SYSTEMS SEGMENT 6 Q2 2027 $ MILLIONS Total Contract Revenues $ 397.5 Adjusted EBITDA $ 97.2 Adjusted EBITDA % 24.5% Q2 2027 $ MILLIONS Total Backlog3 $ 1,259 Next 12 Months Backlog (included in Total Backlog) $ 1,110 Q2 2027 Key Performance Drivers •</w:t>
        <w:tab/>
        <w:t xml:space="preserve"> Robust quarterly results driven by continued strong operational execution, increased operating leverage, and favorable changes in cost estimates on projects and scope of services Continued Segment Expansion •</w:t>
        <w:tab/>
        <w:t xml:space="preserve"> Dycom is executing on the growth of the Building Systems segment as Power Solutions scales its operations and through strategic M&amp;A •</w:t>
        <w:tab/>
        <w:t xml:space="preserve"> Acquired National Technology Integrators in Q2 2027, further extending end-to-end digital infrastructure capabilities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DEBT AND LIQUIDITY OVERVIEW Debt maturity profile and strong liquidity position provide financial flexibility DEBT SUMMARY Q2 2027 Q1 2027 $ MILLIONS 4.50% Senior Notes, mature April 2029 $ 500.0 $ 500.0 Senior Credit Facility:4 Term Loan Facility A, matures December 2030 1,540.0 1,540.0 Term Loan Facility B, matures January 2033 800.0 800.0 Revolving Facility, matures December 2030 - - Finance Lease Obligations 2.7 - Total Notional Amount of Debt $ 2,842.7 $ 2,840.0 Less: Cash and Equivalents 340.1 538.8 Notional Net Debt $ 2,502.6 $ 2,301.2 Liquidity5 $ 1,086.5 $ 1,285.2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 OVERVIEW Capital allocation prioritizes organic growth, followed by M&amp;A and opportunistic share repurchases, within the context of the Company’s historical range of net leverage CASH FLOW SUMMARY Q2 2027 Q2 2026 $ MILLIONS Operating cash flows $ 103.7 $ 57.4 Capital expenditures, net of proceeds from sale of assets $ (65.8) $ (39.1) Cash paid for acquisitions, net of cash acquired $ (225.5) $ - Borrowings on Senior Credit Facility $ - $ (4.0) Other financing and investing activities, net $ (11.2) $ (2.0) Q2 2027 Q2 2026 Free Cash Flow $ 37.9 $ 18.4 Q2 2027 Q2 2026 Days Sales Outstanding (DSO)6 101 108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9 $7.48 BILLION to $7.66 BILLIONTOTAL CONTRACT REVENUES UPDATED FISCAL 2027 OUTLOOK FISCAL YEAR ENDING JANUARY 30, 2027 COMMUNICATIONS BUILDING SYSTEMS $5.90 BILLION to $6.01 BILLION $1.58 BILLION to $1.65 BILLION In Communications, total contract revenues now reflects the deferral of approximately $150 million of wireless program revenues into fiscal 2028. Overall program scope is unchanged. In Building Systems, the Company is increasing its revenue outlook for the year, driven by higher expected revenue from Power Solutions and the contribution of acquired revenues from National Technology Integrators. The Company continues to expect an increase in consolidated Non-GAAP Adjusted EBITDA margin for the year. In Communications, the Company now expects a slight decline in Non-GAAP Adjusted EBITDA margin compared to the prior year reflecting investments to scale operations and operating leverage impacts from deferred wireless program revenues. In Building Systems, the Company expects Non-GAAP Adjusted EBITDA margin to be in the high-teens to low-twenties as a percentage of segment revenue for the remainder of fiscal 2027 as it capitalizes on a strong opportunity set and benefits from increased operating leverage in the segment. For additional information regarding the Company’s outlook, please see the “Outlook Expectations Summary” available on the Company’s Investor Center website posted in connection with the Q2 2027 results conference call. Based on its strong second quarter results and expectations for the remainder of the year, the Company is updating its full year fiscal 2027 outlook and now expects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Q3 2027 OUTLOOK QUARTER ENDING OCTOBER 31, 2026 $1.90 BILLION to $1.98 BILLIONTOTAL CONTRACT REVENUES $281 MILLION to $302 MILLIONNON-GAAP ADJUSTED EBITDA NON-GAAP ADJUSTED DILUTED EPS2 $4.33 to $4.79 For additional information regarding the Company’s outlook, please see the “Outlook Expectations Summary” available on the Company’s Investor Center website posted in connection with the Q2 2027 results conference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2027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 The Company reports its financial results in accordance with U.S. generally accepted accounting principles (GAAP). In the Company’s quarterly results releases, slide presentations, conference calls and webcasts, it may use or discuss non-GAAP financial measures, as defined by Regulation G of the Securities and Exchange Commission. The Company believes that the presentation of certain non-GAAP financial measures in these materials provides information that is useful to investors because it allows for a more direct comparison of the Company’s performance for the period reported with the Company’s performance in prior periods. The Company cautions that non-GAAP financial measures should be considered in addition to, but not as a substitute for, the Company’s reported GAAP results. Management defines the non-GAAP financial measures used as follows: •</w:t>
        <w:tab/>
        <w:t xml:space="preserve"> Non-GAAP Organic Contract Revenues – contract revenues from businesses that are included for the entirety of both the current and prior year periods. Non-GAAP Organic Contract Revenue change percentage is calculated as the change in Non-GAAP Organic Contract Revenues from the comparable prior year period divided by the comparable prior year period Non-GAAP Organic Contract Revenues. Management believes Non-GAAP Organic Contract Revenues is a helpful measure for comparing the Company’s revenue performance with prior periods. •</w:t>
        <w:tab/>
        <w:t xml:space="preserve"> Non-GAAP Adjusted EBITDA – EBITDA (earnings before interest, taxes, depreciation and amortization) adjusted for gain on sale of fixed assets, stock- based compensation expense, and certain non-recurring items. Management believes Non-GAAP Adjusted EBITDA is a helpful measure for comparing the Company’s operating performance with prior periods as well as with the performance of other companies with different capital structures or tax rates. •</w:t>
        <w:tab/>
        <w:t xml:space="preserve"> Non-GAAP Adjusted Net Income - GAAP net income before amortization of intangible assets as well as certain non-recurring items and the related tax impact. The tax impact of pre-tax adjustments reflects the Company’s estimated tax impact of specific adjustments and the effective tax rate used for financial planning for the applicable period. Management believes Non-GAAP Adjusted Net Income is a helpful measure for comparing the Company’s operating performance with prior periods. •</w:t>
        <w:tab/>
        <w:t xml:space="preserve"> Non-GAAP Adjusted Diluted Earnings per Common Share - Non-GAAP Adjusted Net Income divided by weighted average diluted shares outstanding. •</w:t>
        <w:tab/>
        <w:t xml:space="preserve"> Notional Net Debt - aggregate face amount of outstanding debt less cash and equivalents. •</w:t>
        <w:tab/>
        <w:t xml:space="preserve"> Free Cash Flow – net cash provided by operating activities less capital expenditures, net of proceeds from the sale of property and equipment. EXPLANATION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RECONCILIATION OF NON-GAAP FINANCIAL MEASURES TO COMPARABLE GAAP FINANCIAL MEASURES Quarter Ended August 1, 2026 Quarter Ended July 26, 2025 Six Months Ended August 1, 2026 Six Months Ended July 26, 2025 Contract Revenues – GAAP $2,005.9 $1,377.9 $3,970.7 $2,636.6 Contract Revenues – GAAP Growth % 45.6% 50.6% Contract Revenues – GAAP $2,005.9 $1,377.9 $3,970.7 $2,636.6 Revenues from acquired businesses7 (397.5) - (792.9) - Non-GAAP Organic Contract Revenues $1,608.4 $1,377.9 $3,177.8 $2,636.6 Non-GAAP Organic Contract Revenues Growth % 16.7% 20.5% NON-GAAP ORGANIC CONTRACT REVENUES AND GROWTH % UNAUDITED $ MILLIONS Amounts in table above may not add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Quarter Ended August 1, 2026 Quarter Ended July 26, 2025 Six Months Ended August 1, 2026 Six Months Ended July 26, 2025 Net income $115.6 $97.5 $206.9 $158.5 Pre-tax Adjustments: Amortization expense2 60.5 11.9 118.8 23.9 Tax impact of pre-tax adjustments (15.4) (3.1) (30.6) (6.1) Total adjustments, net of tax 45.1 8.9 88.1 17.8 Non-GAAP Adjusted Net Income $160.7 $106.4 $295.1 $176.3 GAAP diluted earnings per common share $3.81 $3.33 $6.81 $5.42 Total adjustments, net of tax 1.49 0.31 2.90 0.61 Non-GAAP Adjusted Diluted Earnings per Common Share $5.29 $3.64 $9.71 $6.03 Shares used in computing Non-GAAP Adjusted Diluted Earnings per Common Share 30.4 29.2 30.4 29.3 NON-GAAP ADJUSTED NET INCOME AND NON-GAAP ADJUSTED DILUTED EARNINGS PER SHARE UNAUDITED IN MILLIONS, EXCEPT PER SHARE AMOUNTS Amounts in table above may not add due to rounding RECONCILIATION OF NON-GAAP FINANCIAL MEASURES TO COMPARABLE 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Quarter Ended August 1, 2026 Quarter Ended July 26, 2025 Six Months Ended August 1, 2026 Six Months Ended July 26, 2025 Net income $115.6 $97.5 $206.9 $158.5 Interest expense, net 38.0 15.6 73.5 29.6 Provision for income taxes 38.3 33.6 53.8 51.2 Depreciation and amortization 115.6 60.9 227.3 119.2 EBITDA 307.6 207.5 561.5 358.6 Gain on sale of fixed assets (2.3) (10.1) (4.3) (19.9) Stock-based compensation expense 10.3 8.1 20.9 17.2 Non-GAAP Adjusted EBITDA $315.5 $205.5 $578.0 $355.9 Non-GAAP Adjusted EBITDA % of contract revenues 15.7% 14.9% 14.6% 13.5% NON-GAAP ADJUSTED EBITDA UNAUDITED $ MILLIONS Amounts in table above may not add due to rounding RECONCILIATION OF NON-GAAP FINANCIAL MEASURES TO COMPARABLE 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Quarter Ended August 1, 2026 Quarter Ended July 26, 2025 Six Months Ended August 1, 2026 Six Months Ended July 26, 2025 Income before income taxes $143.8 $146.7 $262.6 $239.3 Interest (income) expense, net - - - - Depreciation and amortization 66.8 60.9 132.1 119.2 EBITDA 210.6 207.5 394.7 358.6 Gain on sale of fixed assets (2.3) (10.1) (4.3) (19.9) Stock-based compensation expense 10.0 8.1 20.4 17.2 Non-GAAP Adjusted EBITDA $218.3 $205.5 $410.7 $355.9 Non-GAAP Adjusted EBITDA % of contract revenues 13.6% 14.9% 12.9% 13.5% COMMUNICATIONS SEGMENT - NON-GAAP ADJUSTED EBITDA UNAUDITED $ MILLIONS Amounts in table above may not add due to rounding RECONCILIATION OF NON-GAAP FINANCIAL MEASURES TO COMPARABLE 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Quarter Ended August 1, 2026 Quarter Ended July 26, 2025 Six Months Ended August 1, 2026 Six Months Ended July 26, 2025 Income before income taxes $48.2 $- $72.0 $- Interest (income) expense, net (0.0) - (0.4) - Depreciation and amortization 48.8 - 95.2 - EBITDA 96.9 - 166.8 - Loss (gain) on sale of fixed assets 0.0 - (0.0) - Stock-based compensation expense 0.3 - 0.5 - Non-GAAP Adjusted EBITDA $97.2 $- $167.3 $- Non-GAAP Adjusted EBITDA % of contract revenues 24.5% -% 21.1% -% BUILDING SYSTEMS SEGMENT - NON-GAAP ADJUSTED EBITDA UNAUDITED $ MILLIONS Amounts in table above may not add due to rounding RECONCILIATION OF NON-GAAP FINANCIAL MEASURES TO COMPARABLE 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Quarter Ended August 1, 2026 Quarter Ended July 26, 2025 Six Months Ended August 1, 2026 Six Months Ended July 26, 2025 Net cash provided by operating activities $103.7 $ 57.4 $79.1 $ 3.5 Less: Net capital expenditures Capital expenditures (69.5) (51.7) (139.8) (131.2) Proceeds from sale of assets 3.7 12.6 6.5 23.5 Net capital expenditures (65.8) (39.1) (133.3) (107.7) Free Cash Flow $37.9 $ 18.4 $(54.2) $ (104.2) FREE CASH FLOW UNAUDITED $ MILLIONS Amounts in table above may not add due to rounding RECONCILIATION OF NON-GAAP FINANCIAL MEASURES TO COMPARABLE 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19 1.</w:t>
        <w:tab/>
        <w:t xml:space="preserve"> AT&amp;T and Verizon exceeded 10% of total revenues for Q2 2027. 2.</w:t>
        <w:tab/>
        <w:t xml:space="preserve"> The Company excludes amortization of intangible assets from its Non-GAAP Adjusted Net Income beginning with the results reported for the fourth quarter and fiscal year ended January 31, 2026. Amortization of intangible assets are impacted by the Company’s acquisition activities and therefore can vary from period to period. The exclusion of the amortization expense from the Company’s non-GAAP financial measures provides management with a consistent measure for assessing financial results. Prior periods have been adjusted for comparability with the current presentation as follows: Amortization expense of $11.9 million and $23.9 million, and the related tax impacts, has been excluded from the original reported Non-GAAP Adjusted Net Income for the quarter and six months ended July 26, 2025, respectively. 3.</w:t>
        <w:tab/>
        <w:t xml:space="preserve"> The Company’s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which are commonly used within the Communications segment, backlog is estimated based on the work performed in the preceding 12-month period, when applicable. When estimating backlog for newly initiated master service agreements and other long and short-term contracts, the Company also considers the anticipated scope of the contract and information received from the customer during the procurement process and, where applicable, other ancillary information. Building Systems segment backlog represents management’s estimate of contract revenues expected to be realized related to remaining performance obligations from the portion of firm orders under fixed price and modified fixed-price contracts not yet completed or for which work has not yet begun. The majority of the Company’s backlog comprises services under master service agreements and other long-term contracts. Backlog is not a measure defined by United States GAAP and should be considered in addition to, but not as a substitute for, information provided in accordance with GAAP. Participants in the Company’s industry also disclose a calculation of their backlog; however, the Company’s methodology for determining backlog may not be comparable to the methodologies used by others. The Company utilizes the calculation of backlog to assist in measuring aggregate awards under existing contractual relationships with its customers. The Company believes its backlog disclosures will assist investors in better understanding this estimate of the services to be performed pursuant to awards by its customers under existing contractual relationships. 4.</w:t>
        <w:tab/>
        <w:t xml:space="preserve"> As of Q2 2027 and Q1 2027, the Company had $53.6 million of standby letters of credit outstanding under the Senior Credit Facility. 5.</w:t>
        <w:tab/>
        <w:t xml:space="preserve"> Liquidity represents the sum of availability from the Company’s Senior Credit Facility, considering net funded debt balances, and available cash and equivalents. For calculation of availability under the Senior Credit Facility, applicable cash and equivalents are netted against the funded debt amount. 6.</w:t>
        <w:tab/>
        <w:t xml:space="preserve"> DSO is calculated as the summation of current and non-current accounts receivable (including unbilled receivables), net of allowance for doubtful accounts, plus current contract assets, less contract liabilities, divided by average revenue per day during the respective quarter, including revenue from acquired businesses for the entirety of the quarter. Long-term contract assets are excluded from the calculation of DSO, as these amounts represent payments made to customers pursuant to long-term agreements and are recognized as a reduction of contract revenues over the period for which the related services are provided to the customers. 7.</w:t>
        <w:tab/>
        <w:t xml:space="preserve"> Amounts represent contract revenues from acquired businesses that were not owned for the entirety of both the current and prior year periods.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Callie Tomasso VP Investor Relations &amp; Corporate Communications (561) 799-2260 InvestorRelations@dycomind.com 300 Banyan Boulevard, Suite 1101 West Palm Beach, FL 33401 (561) 627-7171 dycomind.com dycom-industries CONTACT US Investor and Media Contact Corporate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PEOPLE CONNECTING AMERICA®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8208</Words>
  <Characters>47496</Characters>
  <CharactersWithSpaces>55126</CharactersWithSpaces>
  <Paragraphs>1022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q22027presentationmateri</dc:title>
</cp:coreProperties>
</file>